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ОЦЕНКА НА ИЗПЪЛНЕНИЕТО НА ДОСТАВЧИЦИ</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ИЗПЪЛНЕНИЕ НА ДОСТАВКИ</w:t>
      </w:r>
    </w:p>
    <w:p>
      <w:pPr>
        <w:spacing w:after="120"/>
      </w:pPr>
      <w:r>
        <w:rPr>
          <w:b/>
          <w:bCs/>
          <w:sz w:val="24"/>
          <w:szCs w:val="24"/>
        </w:rPr>
        <w:t xml:space="preserve"> ---</w:t>
      </w:r>
    </w:p>
    <w:p>
      <w:pPr>
        <w:spacing w:after="120"/>
      </w:pPr>
      <w:r>
        <w:rPr>
          <w:b w:val="false"/>
          <w:bCs w:val="false"/>
          <w:sz w:val="20"/>
          <w:szCs w:val="20"/>
        </w:rPr>
        <w:t xml:space="preserve">[ ] Процент на доставка навреме (%)</w:t>
      </w:r>
    </w:p>
    <w:p>
      <w:pPr>
        <w:spacing w:after="120"/>
      </w:pPr>
      <w:r>
        <w:rPr>
          <w:b w:val="false"/>
          <w:bCs w:val="false"/>
          <w:sz w:val="20"/>
          <w:szCs w:val="20"/>
        </w:rPr>
        <w:t xml:space="preserve"/>
      </w:r>
    </w:p>
    <w:p>
      <w:pPr>
        <w:spacing w:after="120"/>
      </w:pPr>
      <w:r>
        <w:rPr>
          <w:b w:val="false"/>
          <w:bCs w:val="false"/>
          <w:sz w:val="20"/>
          <w:szCs w:val="20"/>
        </w:rPr>
        <w:t xml:space="preserve">[ ] Среден срок за доставка (дни)</w:t>
      </w:r>
    </w:p>
    <w:p>
      <w:pPr>
        <w:spacing w:after="120"/>
      </w:pPr>
      <w:r>
        <w:rPr>
          <w:b w:val="false"/>
          <w:bCs w:val="false"/>
          <w:sz w:val="20"/>
          <w:szCs w:val="20"/>
        </w:rPr>
        <w:t xml:space="preserve"/>
      </w:r>
    </w:p>
    <w:p>
      <w:pPr>
        <w:spacing w:after="120"/>
      </w:pPr>
      <w:r>
        <w:rPr>
          <w:b w:val="false"/>
          <w:bCs w:val="false"/>
          <w:sz w:val="20"/>
          <w:szCs w:val="20"/>
        </w:rPr>
        <w:t xml:space="preserve">[ ] Брой на повредени пратки</w:t>
      </w:r>
    </w:p>
    <w:p>
      <w:pPr>
        <w:spacing w:after="120"/>
      </w:pPr>
      <w:r>
        <w:rPr>
          <w:b w:val="false"/>
          <w:bCs w:val="false"/>
          <w:sz w:val="20"/>
          <w:szCs w:val="20"/>
        </w:rPr>
        <w:t xml:space="preserve"/>
      </w:r>
    </w:p>
    <w:p>
      <w:pPr>
        <w:spacing w:after="120"/>
      </w:pPr>
      <w:r>
        <w:rPr>
          <w:b w:val="false"/>
          <w:bCs w:val="false"/>
          <w:sz w:val="20"/>
          <w:szCs w:val="20"/>
        </w:rPr>
        <w:t xml:space="preserve">[ ] Оптимизация на маршрути за доставка (Отличен, Добре., справедлив, беден)</w:t>
      </w:r>
    </w:p>
    <w:p>
      <w:pPr>
        <w:spacing w:after="120"/>
      </w:pPr>
      <w:r>
        <w:rPr>
          <w:b w:val="false"/>
          <w:bCs w:val="false"/>
          <w:sz w:val="20"/>
          <w:szCs w:val="20"/>
        </w:rPr>
        <w:t xml:space="preserve">[ ] Информация относно всички значителни закъснения в доставките.</w:t>
      </w:r>
    </w:p>
    <w:p>
      <w:pPr>
        <w:spacing w:after="120"/>
      </w:pPr>
      <w:r>
        <w:rPr>
          <w:b w:val="false"/>
          <w:bCs w:val="false"/>
          <w:sz w:val="20"/>
          <w:szCs w:val="20"/>
        </w:rPr>
        <w:t xml:space="preserve">[ ] Дата на последен проблем с доставка</w:t>
      </w:r>
    </w:p>
    <w:p>
      <w:pPr>
        <w:spacing w:after="120"/>
      </w:pPr>
      <w:r>
        <w:rPr>
          <w:b w:val="false"/>
          <w:bCs w:val="false"/>
          <w:sz w:val="20"/>
          <w:szCs w:val="20"/>
        </w:rPr>
        <w:t xml:space="preserve">[ ] Реакция при проблеми с доставката (Много отзивчив</w:t>
      </w:r>
    </w:p>
    <w:p>
      <w:pPr>
        <w:spacing w:after="120"/>
      </w:pPr>
      <w:r>
        <w:rPr>
          <w:b w:val="false"/>
          <w:bCs w:val="false"/>
          <w:sz w:val="20"/>
          <w:szCs w:val="20"/>
        </w:rPr>
        <w:t xml:space="preserve">, Реактивен, Неутрален, Нереагиращ</w:t>
      </w:r>
    </w:p>
    <w:p>
      <w:pPr>
        <w:spacing w:after="120"/>
      </w:pPr>
      <w:r>
        <w:rPr>
          <w:b w:val="false"/>
          <w:bCs w:val="false"/>
          <w:sz w:val="20"/>
          <w:szCs w:val="20"/>
        </w:rPr>
        <w:t xml:space="preserve">, Много неотзивчив)</w:t>
      </w:r>
    </w:p>
    <w:p>
      <w:pPr>
        <w:spacing w:after="120"/>
      </w:pPr>
      <w:r>
        <w:rPr>
          <w:b w:val="false"/>
          <w:bCs w:val="false"/>
          <w:sz w:val="20"/>
          <w:szCs w:val="20"/>
        </w:rPr>
        <w:t xml:space="preserve">[ ] Начин на доставка (Изберете всички приложими)</w:t>
      </w:r>
    </w:p>
    <w:p>
      <w:pPr>
        <w:spacing w:after="120"/>
      </w:pPr>
      <w:r>
        <w:rPr>
          <w:b w:val="false"/>
          <w:bCs w:val="false"/>
          <w:sz w:val="20"/>
          <w:szCs w:val="20"/>
        </w:rPr>
        <w:t xml:space="preserve"> (Товарно превозно средство (ТПС)</w:t>
      </w:r>
    </w:p>
    <w:p>
      <w:pPr>
        <w:spacing w:after="120"/>
      </w:pPr>
      <w:r>
        <w:rPr>
          <w:b w:val="false"/>
          <w:bCs w:val="false"/>
          <w:sz w:val="20"/>
          <w:szCs w:val="20"/>
        </w:rPr>
        <w:t xml:space="preserve">, Пълни товари (ПТ), Пратка</w:t>
      </w:r>
    </w:p>
    <w:p>
      <w:pPr>
        <w:spacing w:after="120"/>
      </w:pPr>
      <w:r>
        <w:rPr>
          <w:b w:val="false"/>
          <w:bCs w:val="false"/>
          <w:sz w:val="20"/>
          <w:szCs w:val="20"/>
        </w:rPr>
        <w:t xml:space="preserve">, Релса, Въздух)</w:t>
      </w:r>
    </w:p>
    <w:p>
      <w:pPr>
        <w:spacing w:after="120"/>
      </w:pPr>
      <w:r>
        <w:rPr>
          <w:b w:val="false"/>
          <w:bCs w:val="false"/>
          <w:sz w:val="20"/>
          <w:szCs w:val="20"/>
        </w:rPr>
        <w:t xml:space="preserve"/>
      </w:r>
    </w:p>
    <w:p>
      <w:pPr>
        <w:spacing w:after="120"/>
      </w:pPr>
      <w:r>
        <w:rPr>
          <w:b/>
          <w:bCs/>
          <w:sz w:val="24"/>
          <w:szCs w:val="24"/>
        </w:rPr>
        <w:t xml:space="preserve">--- РАЗХОДИ И ЦЕНИ ---</w:t>
      </w:r>
    </w:p>
    <w:p>
      <w:pPr>
        <w:spacing w:after="120"/>
      </w:pPr>
      <w:r>
        <w:rPr>
          <w:b w:val="false"/>
          <w:bCs w:val="false"/>
          <w:sz w:val="20"/>
          <w:szCs w:val="20"/>
        </w:rPr>
        <w:t xml:space="preserve">[ ] Средна цена на пратка</w:t>
      </w:r>
    </w:p>
    <w:p>
      <w:pPr>
        <w:spacing w:after="120"/>
      </w:pPr>
      <w:r>
        <w:rPr>
          <w:b w:val="false"/>
          <w:bCs w:val="false"/>
          <w:sz w:val="20"/>
          <w:szCs w:val="20"/>
        </w:rPr>
        <w:t xml:space="preserve">[ ] Процентно отклонение от оферираната цена</w:t>
      </w:r>
    </w:p>
    <w:p>
      <w:pPr>
        <w:spacing w:after="120"/>
      </w:pPr>
      <w:r>
        <w:rPr>
          <w:b w:val="false"/>
          <w:bCs w:val="false"/>
          <w:sz w:val="20"/>
          <w:szCs w:val="20"/>
        </w:rPr>
        <w:t xml:space="preserve">[ ] Прозрачност на ценовите модели (Напълно прозрачен, Почти прозрачен, Почти прозрачен, Непрозрачен)</w:t>
      </w:r>
    </w:p>
    <w:p>
      <w:pPr>
        <w:spacing w:after="120"/>
      </w:pPr>
      <w:r>
        <w:rPr>
          <w:b w:val="false"/>
          <w:bCs w:val="false"/>
          <w:sz w:val="20"/>
          <w:szCs w:val="20"/>
        </w:rPr>
        <w:t xml:space="preserve">[ ] Подробности относно всяко увеличение/намаление на цените и обосновка.</w:t>
      </w:r>
    </w:p>
    <w:p>
      <w:pPr>
        <w:spacing w:after="120"/>
      </w:pPr>
      <w:r>
        <w:rPr>
          <w:b w:val="false"/>
          <w:bCs w:val="false"/>
          <w:sz w:val="20"/>
          <w:szCs w:val="20"/>
        </w:rPr>
        <w:t xml:space="preserve"/>
      </w:r>
    </w:p>
    <w:p>
      <w:pPr>
        <w:spacing w:after="120"/>
      </w:pPr>
      <w:r>
        <w:rPr>
          <w:b w:val="false"/>
          <w:bCs w:val="false"/>
          <w:sz w:val="20"/>
          <w:szCs w:val="20"/>
        </w:rPr>
        <w:t xml:space="preserve">[ ] Гъвкавост на условията за плащане (Много гъвкав, Гъвкав</w:t>
      </w:r>
    </w:p>
    <w:p>
      <w:pPr>
        <w:spacing w:after="120"/>
      </w:pPr>
      <w:r>
        <w:rPr>
          <w:b w:val="false"/>
          <w:bCs w:val="false"/>
          <w:sz w:val="20"/>
          <w:szCs w:val="20"/>
        </w:rPr>
        <w:t xml:space="preserve">, Умерен, Непоклатима)</w:t>
      </w:r>
    </w:p>
    <w:p>
      <w:pPr>
        <w:spacing w:after="120"/>
      </w:pPr>
      <w:r>
        <w:rPr>
          <w:b w:val="false"/>
          <w:bCs w:val="false"/>
          <w:sz w:val="20"/>
          <w:szCs w:val="20"/>
        </w:rPr>
        <w:t xml:space="preserve">[ ] Такси за гориво – Среден процент</w:t>
      </w:r>
    </w:p>
    <w:p>
      <w:pPr>
        <w:spacing w:after="120"/>
      </w:pPr>
      <w:r>
        <w:rPr>
          <w:b w:val="false"/>
          <w:bCs w:val="false"/>
          <w:sz w:val="20"/>
          <w:szCs w:val="20"/>
        </w:rPr>
        <w:t xml:space="preserve"/>
      </w:r>
    </w:p>
    <w:p>
      <w:pPr>
        <w:spacing w:after="120"/>
      </w:pPr>
      <w:r>
        <w:rPr>
          <w:b/>
          <w:bCs/>
          <w:sz w:val="24"/>
          <w:szCs w:val="24"/>
        </w:rPr>
        <w:t xml:space="preserve">--- ОБСЛУЖВАНЕ И КОМУНИКАЦИЯ</w:t>
      </w:r>
    </w:p>
    <w:p>
      <w:pPr>
        <w:spacing w:after="120"/>
      </w:pPr>
      <w:r>
        <w:rPr>
          <w:b/>
          <w:bCs/>
          <w:sz w:val="24"/>
          <w:szCs w:val="24"/>
        </w:rPr>
        <w:t xml:space="preserve"> ---</w:t>
      </w:r>
    </w:p>
    <w:p>
      <w:pPr>
        <w:spacing w:after="120"/>
      </w:pPr>
      <w:r>
        <w:rPr>
          <w:b w:val="false"/>
          <w:bCs w:val="false"/>
          <w:sz w:val="20"/>
          <w:szCs w:val="20"/>
        </w:rPr>
        <w:t xml:space="preserve">[ ] Средно време за отговор на запитвания (часове)</w:t>
      </w:r>
    </w:p>
    <w:p>
      <w:pPr>
        <w:spacing w:after="120"/>
      </w:pPr>
      <w:r>
        <w:rPr>
          <w:b w:val="false"/>
          <w:bCs w:val="false"/>
          <w:sz w:val="20"/>
          <w:szCs w:val="20"/>
        </w:rPr>
        <w:t xml:space="preserve"/>
      </w:r>
    </w:p>
    <w:p>
      <w:pPr>
        <w:spacing w:after="120"/>
      </w:pPr>
      <w:r>
        <w:rPr>
          <w:b w:val="false"/>
          <w:bCs w:val="false"/>
          <w:sz w:val="20"/>
          <w:szCs w:val="20"/>
        </w:rPr>
        <w:t xml:space="preserve">[ ] Предпочитан метод на комуникация (Имейл, Телефон</w:t>
      </w:r>
    </w:p>
    <w:p>
      <w:pPr>
        <w:spacing w:after="120"/>
      </w:pPr>
      <w:r>
        <w:rPr>
          <w:b w:val="false"/>
          <w:bCs w:val="false"/>
          <w:sz w:val="20"/>
          <w:szCs w:val="20"/>
        </w:rPr>
        <w:t xml:space="preserve">, Портал, Друг)</w:t>
      </w:r>
    </w:p>
    <w:p>
      <w:pPr>
        <w:spacing w:after="120"/>
      </w:pPr>
      <w:r>
        <w:rPr>
          <w:b w:val="false"/>
          <w:bCs w:val="false"/>
          <w:sz w:val="20"/>
          <w:szCs w:val="20"/>
        </w:rPr>
        <w:t xml:space="preserve">[ ] Обобщение на ефективността на комуникацията (положителни и отрицателни преживявания)</w:t>
      </w:r>
    </w:p>
    <w:p>
      <w:pPr>
        <w:spacing w:after="120"/>
      </w:pPr>
      <w:r>
        <w:rPr>
          <w:b w:val="false"/>
          <w:bCs w:val="false"/>
          <w:sz w:val="20"/>
          <w:szCs w:val="20"/>
        </w:rPr>
        <w:t xml:space="preserve"/>
      </w:r>
    </w:p>
    <w:p>
      <w:pPr>
        <w:spacing w:after="120"/>
      </w:pPr>
      <w:r>
        <w:rPr>
          <w:b w:val="false"/>
          <w:bCs w:val="false"/>
          <w:sz w:val="20"/>
          <w:szCs w:val="20"/>
        </w:rPr>
        <w:t xml:space="preserve">[ ] Проактивна комуникация относно забавяния/проблеми</w:t>
      </w:r>
    </w:p>
    <w:p>
      <w:pPr>
        <w:spacing w:after="120"/>
      </w:pPr>
      <w:r>
        <w:rPr>
          <w:b w:val="false"/>
          <w:bCs w:val="false"/>
          <w:sz w:val="20"/>
          <w:szCs w:val="20"/>
        </w:rPr>
        <w:t xml:space="preserve"> (Винаги, Понякога, Рядко, Никога)</w:t>
      </w:r>
    </w:p>
    <w:p>
      <w:pPr>
        <w:spacing w:after="120"/>
      </w:pPr>
      <w:r>
        <w:rPr>
          <w:b w:val="false"/>
          <w:bCs w:val="false"/>
          <w:sz w:val="20"/>
          <w:szCs w:val="20"/>
        </w:rPr>
        <w:t xml:space="preserve">[ ] Брой на ескалациите, изисквани през предходния период на оценка.</w:t>
      </w:r>
    </w:p>
    <w:p>
      <w:pPr>
        <w:spacing w:after="120"/>
      </w:pPr>
      <w:r>
        <w:rPr>
          <w:b w:val="false"/>
          <w:bCs w:val="false"/>
          <w:sz w:val="20"/>
          <w:szCs w:val="20"/>
        </w:rPr>
        <w:t xml:space="preserve">[ ] Конкретни примери за изключително добра или лоша комуникация.</w:t>
      </w:r>
    </w:p>
    <w:p>
      <w:pPr>
        <w:spacing w:after="120"/>
      </w:pPr>
      <w:r>
        <w:rPr>
          <w:b w:val="false"/>
          <w:bCs w:val="false"/>
          <w:sz w:val="20"/>
          <w:szCs w:val="20"/>
        </w:rPr>
        <w:t xml:space="preserve">[ ] Яснота в комуникацията (Отличен, Добре.</w:t>
      </w:r>
    </w:p>
    <w:p>
      <w:pPr>
        <w:spacing w:after="120"/>
      </w:pPr>
      <w:r>
        <w:rPr>
          <w:b w:val="false"/>
          <w:bCs w:val="false"/>
          <w:sz w:val="20"/>
          <w:szCs w:val="20"/>
        </w:rPr>
        <w:t xml:space="preserve">, Справедлив, беден</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КОНТРОЛ НА КАЧЕСТВОТО И ПРЕДОТВРАТЯВАНЕ НА ЩЕТИ ---</w:t>
      </w:r>
    </w:p>
    <w:p>
      <w:pPr>
        <w:spacing w:after="120"/>
      </w:pPr>
      <w:r>
        <w:rPr>
          <w:b w:val="false"/>
          <w:bCs w:val="false"/>
          <w:sz w:val="20"/>
          <w:szCs w:val="20"/>
        </w:rPr>
        <w:t xml:space="preserve">[ ] Процент на пратките, пристигащи невредими</w:t>
      </w:r>
    </w:p>
    <w:p>
      <w:pPr>
        <w:spacing w:after="120"/>
      </w:pPr>
      <w:r>
        <w:rPr>
          <w:b w:val="false"/>
          <w:bCs w:val="false"/>
          <w:sz w:val="20"/>
          <w:szCs w:val="20"/>
        </w:rPr>
        <w:t xml:space="preserve">[ ] Среден брой на месечни искове за щети</w:t>
      </w:r>
    </w:p>
    <w:p>
      <w:pPr>
        <w:spacing w:after="120"/>
      </w:pPr>
      <w:r>
        <w:rPr>
          <w:b w:val="false"/>
          <w:bCs w:val="false"/>
          <w:sz w:val="20"/>
          <w:szCs w:val="20"/>
        </w:rPr>
        <w:t xml:space="preserve">[ ] Ефективност на процеса за докладване на щети (Отлично.</w:t>
      </w:r>
    </w:p>
    <w:p>
      <w:pPr>
        <w:spacing w:after="120"/>
      </w:pPr>
      <w:r>
        <w:rPr>
          <w:b w:val="false"/>
          <w:bCs w:val="false"/>
          <w:sz w:val="20"/>
          <w:szCs w:val="20"/>
        </w:rPr>
        <w:t xml:space="preserve">, Добре., Среден, беден, Много лошо)</w:t>
      </w:r>
    </w:p>
    <w:p>
      <w:pPr>
        <w:spacing w:after="120"/>
      </w:pPr>
      <w:r>
        <w:rPr>
          <w:b w:val="false"/>
          <w:bCs w:val="false"/>
          <w:sz w:val="20"/>
          <w:szCs w:val="20"/>
        </w:rPr>
        <w:t xml:space="preserve">[ ] Описание на повтарящи се проблеми с повреди.</w:t>
      </w:r>
    </w:p>
    <w:p>
      <w:pPr>
        <w:spacing w:after="120"/>
      </w:pPr>
      <w:r>
        <w:rPr>
          <w:b w:val="false"/>
          <w:bCs w:val="false"/>
          <w:sz w:val="20"/>
          <w:szCs w:val="20"/>
        </w:rPr>
        <w:t xml:space="preserve">[ ] Ефективност на мерките за предотвратяване на щети (Изключително ефективен, Ефективен, Неутрален, неефективен</w:t>
      </w:r>
    </w:p>
    <w:p>
      <w:pPr>
        <w:spacing w:after="120"/>
      </w:pPr>
      <w:r>
        <w:rPr>
          <w:b w:val="false"/>
          <w:bCs w:val="false"/>
          <w:sz w:val="20"/>
          <w:szCs w:val="20"/>
        </w:rPr>
        <w:t xml:space="preserve">, Много неефективен)</w:t>
      </w:r>
    </w:p>
    <w:p>
      <w:pPr>
        <w:spacing w:after="120"/>
      </w:pPr>
      <w:r>
        <w:rPr>
          <w:b w:val="false"/>
          <w:bCs w:val="false"/>
          <w:sz w:val="20"/>
          <w:szCs w:val="20"/>
        </w:rPr>
        <w:t xml:space="preserve">[ ] Качете снимки/документи за инциденти със значителни щети (ако има такива).</w:t>
      </w:r>
    </w:p>
    <w:p>
      <w:pPr>
        <w:spacing w:after="120"/>
      </w:pPr>
      <w:r>
        <w:rPr>
          <w:b w:val="false"/>
          <w:bCs w:val="false"/>
          <w:sz w:val="20"/>
          <w:szCs w:val="20"/>
        </w:rPr>
        <w:t xml:space="preserve">[ ] Време за отстраняване на щети (средно в дни)</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ТЕХНОЛОГИИ И ИНТЕГРАЦИЯ ---</w:t>
      </w:r>
    </w:p>
    <w:p>
      <w:pPr>
        <w:spacing w:after="120"/>
      </w:pPr>
      <w:r>
        <w:rPr>
          <w:b w:val="false"/>
          <w:bCs w:val="false"/>
          <w:sz w:val="20"/>
          <w:szCs w:val="20"/>
        </w:rPr>
        <w:t xml:space="preserve">[ ] Възможности за Електронно Обмен на Данни (ЕОД) (Да, напълно внедрено.</w:t>
      </w:r>
    </w:p>
    <w:p>
      <w:pPr>
        <w:spacing w:after="120"/>
      </w:pPr>
      <w:r>
        <w:rPr>
          <w:b w:val="false"/>
          <w:bCs w:val="false"/>
          <w:sz w:val="20"/>
          <w:szCs w:val="20"/>
        </w:rPr>
        <w:t xml:space="preserve">, Да, частична реализация., Не, планиран</w:t>
      </w:r>
    </w:p>
    <w:p>
      <w:pPr>
        <w:spacing w:after="120"/>
      </w:pPr>
      <w:r>
        <w:rPr>
          <w:b w:val="false"/>
          <w:bCs w:val="false"/>
          <w:sz w:val="20"/>
          <w:szCs w:val="20"/>
        </w:rPr>
        <w:t xml:space="preserve">)</w:t>
      </w:r>
    </w:p>
    <w:p>
      <w:pPr>
        <w:spacing w:after="120"/>
      </w:pPr>
      <w:r>
        <w:rPr>
          <w:b w:val="false"/>
          <w:bCs w:val="false"/>
          <w:sz w:val="20"/>
          <w:szCs w:val="20"/>
        </w:rPr>
        <w:t xml:space="preserve">[ ] Процент на успешни EDI предавания (%)</w:t>
      </w:r>
    </w:p>
    <w:p>
      <w:pPr>
        <w:spacing w:after="120"/>
      </w:pPr>
      <w:r>
        <w:rPr>
          <w:b w:val="false"/>
          <w:bCs w:val="false"/>
          <w:sz w:val="20"/>
          <w:szCs w:val="20"/>
        </w:rPr>
        <w:t xml:space="preserve"/>
      </w:r>
    </w:p>
    <w:p>
      <w:pPr>
        <w:spacing w:after="120"/>
      </w:pPr>
      <w:r>
        <w:rPr>
          <w:b w:val="false"/>
          <w:bCs w:val="false"/>
          <w:sz w:val="20"/>
          <w:szCs w:val="20"/>
        </w:rPr>
        <w:t xml:space="preserve">[ ] Статус на интеграцията на API</w:t>
      </w:r>
    </w:p>
    <w:p>
      <w:pPr>
        <w:spacing w:after="120"/>
      </w:pPr>
      <w:r>
        <w:rPr>
          <w:b w:val="false"/>
          <w:bCs w:val="false"/>
          <w:sz w:val="20"/>
          <w:szCs w:val="20"/>
        </w:rPr>
        <w:t xml:space="preserve"> (Пълна интеграция, Частично интегриран, Не интегриран, планиран)</w:t>
      </w:r>
    </w:p>
    <w:p>
      <w:pPr>
        <w:spacing w:after="120"/>
      </w:pPr>
      <w:r>
        <w:rPr>
          <w:b w:val="false"/>
          <w:bCs w:val="false"/>
          <w:sz w:val="20"/>
          <w:szCs w:val="20"/>
        </w:rPr>
        <w:t xml:space="preserve">[ ] Опишете всякакви възникнали предизвикателства при интегрирането.</w:t>
      </w:r>
    </w:p>
    <w:p>
      <w:pPr>
        <w:spacing w:after="120"/>
      </w:pPr>
      <w:r>
        <w:rPr>
          <w:b w:val="false"/>
          <w:bCs w:val="false"/>
          <w:sz w:val="20"/>
          <w:szCs w:val="20"/>
        </w:rPr>
        <w:t xml:space="preserve"/>
      </w:r>
    </w:p>
    <w:p>
      <w:pPr>
        <w:spacing w:after="120"/>
      </w:pPr>
      <w:r>
        <w:rPr>
          <w:b w:val="false"/>
          <w:bCs w:val="false"/>
          <w:sz w:val="20"/>
          <w:szCs w:val="20"/>
        </w:rPr>
        <w:t xml:space="preserve">[ ] Предоставете API документация (ако има такава).</w:t>
      </w:r>
    </w:p>
    <w:p>
      <w:pPr>
        <w:spacing w:after="120"/>
      </w:pPr>
      <w:r>
        <w:rPr>
          <w:b w:val="false"/>
          <w:bCs w:val="false"/>
          <w:sz w:val="20"/>
          <w:szCs w:val="20"/>
        </w:rPr>
        <w:t xml:space="preserve">[ ] Съвместимост със системите за проследяване (Напълно съвместим, Частично съвместим, Не е съвместимо.</w:t>
      </w:r>
    </w:p>
    <w:p>
      <w:pPr>
        <w:spacing w:after="120"/>
      </w:pPr>
      <w:r>
        <w:rPr>
          <w:b w:val="false"/>
          <w:bCs w:val="false"/>
          <w:sz w:val="20"/>
          <w:szCs w:val="20"/>
        </w:rPr>
        <w:t xml:space="preserve">)</w:t>
      </w:r>
    </w:p>
    <w:p>
      <w:pPr>
        <w:spacing w:after="120"/>
      </w:pPr>
      <w:r>
        <w:rPr>
          <w:b w:val="false"/>
          <w:bCs w:val="false"/>
          <w:sz w:val="20"/>
          <w:szCs w:val="20"/>
        </w:rPr>
        <w:t xml:space="preserve">[ ] Информация относно протоколите за споделяне на данни и приложените мерки за сигурност.</w:t>
      </w:r>
    </w:p>
    <w:p>
      <w:pPr>
        <w:spacing w:after="120"/>
      </w:pPr>
      <w:r>
        <w:rPr>
          <w:b w:val="false"/>
          <w:bCs w:val="false"/>
          <w:sz w:val="20"/>
          <w:szCs w:val="20"/>
        </w:rPr>
        <w:t xml:space="preserve"/>
      </w:r>
    </w:p>
    <w:p>
      <w:pPr>
        <w:spacing w:after="120"/>
      </w:pPr>
      <w:r>
        <w:rPr>
          <w:b/>
          <w:bCs/>
          <w:sz w:val="24"/>
          <w:szCs w:val="24"/>
        </w:rPr>
        <w:t xml:space="preserve">--- УПРАВЛЕНИЕ НА РИСКА И СЪОТВЕТСТВИЕ ---</w:t>
      </w:r>
    </w:p>
    <w:p>
      <w:pPr>
        <w:spacing w:after="120"/>
      </w:pPr>
      <w:r>
        <w:rPr>
          <w:b w:val="false"/>
          <w:bCs w:val="false"/>
          <w:sz w:val="20"/>
          <w:szCs w:val="20"/>
        </w:rPr>
        <w:t xml:space="preserve">[ ] Доставчикът има ли документиран план за управление на риска? (Да, Не, Не е приложимо.)</w:t>
      </w:r>
    </w:p>
    <w:p>
      <w:pPr>
        <w:spacing w:after="120"/>
      </w:pPr>
      <w:r>
        <w:rPr>
          <w:b w:val="false"/>
          <w:bCs w:val="false"/>
          <w:sz w:val="20"/>
          <w:szCs w:val="20"/>
        </w:rPr>
        <w:t xml:space="preserve">[ ] Оценка на финансовата стабилност на доставчика (напр. рейтинг на Dun &amp; Bradstreet)</w:t>
      </w:r>
    </w:p>
    <w:p>
      <w:pPr>
        <w:spacing w:after="120"/>
      </w:pPr>
      <w:r>
        <w:rPr>
          <w:b w:val="false"/>
          <w:bCs w:val="false"/>
          <w:sz w:val="20"/>
          <w:szCs w:val="20"/>
        </w:rPr>
        <w:t xml:space="preserve">[ ] Доставчикът има ли подходящо застрахователно покритие (например за стока, гражданска отговорност)? (Да, Не, Необходими подробности.</w:t>
      </w:r>
    </w:p>
    <w:p>
      <w:pPr>
        <w:spacing w:after="120"/>
      </w:pPr>
      <w:r>
        <w:rPr>
          <w:b w:val="false"/>
          <w:bCs w:val="false"/>
          <w:sz w:val="20"/>
          <w:szCs w:val="20"/>
        </w:rPr>
        <w:t xml:space="preserve">)</w:t>
      </w:r>
    </w:p>
    <w:p>
      <w:pPr>
        <w:spacing w:after="120"/>
      </w:pPr>
      <w:r>
        <w:rPr>
          <w:b w:val="false"/>
          <w:bCs w:val="false"/>
          <w:sz w:val="20"/>
          <w:szCs w:val="20"/>
        </w:rPr>
        <w:t xml:space="preserve">[ ] Обобщение на всички последни регулаторни или правни проблеми, свързани с доставчика.</w:t>
      </w:r>
    </w:p>
    <w:p>
      <w:pPr>
        <w:spacing w:after="120"/>
      </w:pPr>
      <w:r>
        <w:rPr>
          <w:b w:val="false"/>
          <w:bCs w:val="false"/>
          <w:sz w:val="20"/>
          <w:szCs w:val="20"/>
        </w:rPr>
        <w:t xml:space="preserve"/>
      </w:r>
    </w:p>
    <w:p>
      <w:pPr>
        <w:spacing w:after="120"/>
      </w:pPr>
      <w:r>
        <w:rPr>
          <w:b w:val="false"/>
          <w:bCs w:val="false"/>
          <w:sz w:val="20"/>
          <w:szCs w:val="20"/>
        </w:rPr>
        <w:t xml:space="preserve">[ ] Доставчикът спазва ли всички приложими транспортни наредби (например, DOT, Hazmat)? (Да, Не., Несигурен)</w:t>
      </w:r>
    </w:p>
    <w:p>
      <w:pPr>
        <w:spacing w:after="120"/>
      </w:pPr>
      <w:r>
        <w:rPr>
          <w:b w:val="false"/>
          <w:bCs w:val="false"/>
          <w:sz w:val="20"/>
          <w:szCs w:val="20"/>
        </w:rPr>
        <w:t xml:space="preserve">[ ] Качете копия на приложимите сертификати за съответствие (напр. ISO, лиценз за митенин).</w:t>
      </w:r>
    </w:p>
    <w:p>
      <w:pPr>
        <w:spacing w:after="120"/>
      </w:pPr>
      <w:r>
        <w:rPr>
          <w:b w:val="false"/>
          <w:bCs w:val="false"/>
          <w:sz w:val="20"/>
          <w:szCs w:val="20"/>
        </w:rPr>
        <w:t xml:space="preserve">[ ] Дата на последната проверка за съответствие.</w:t>
      </w:r>
    </w:p>
    <w:p>
      <w:pPr>
        <w:spacing w:after="120"/>
      </w:pPr>
      <w:r>
        <w:rPr>
          <w:b w:val="false"/>
          <w:bCs w:val="false"/>
          <w:sz w:val="20"/>
          <w:szCs w:val="20"/>
        </w:rPr>
        <w:t xml:space="preserve"/>
      </w:r>
    </w:p>
    <w:p>
      <w:pPr>
        <w:spacing w:after="120"/>
      </w:pPr>
      <w:r>
        <w:rPr>
          <w:b/>
          <w:bCs/>
          <w:sz w:val="24"/>
          <w:szCs w:val="24"/>
        </w:rPr>
        <w:t xml:space="preserve">--- УСТОЙЧИВОСТ И ЕТИЧНИ ПРАКТИКИ</w:t>
      </w:r>
    </w:p>
    <w:p>
      <w:pPr>
        <w:spacing w:after="120"/>
      </w:pPr>
      <w:r>
        <w:rPr>
          <w:b/>
          <w:bCs/>
          <w:sz w:val="24"/>
          <w:szCs w:val="24"/>
        </w:rPr>
        <w:t xml:space="preserve"> ---</w:t>
      </w:r>
    </w:p>
    <w:p>
      <w:pPr>
        <w:spacing w:after="120"/>
      </w:pPr>
      <w:r>
        <w:rPr>
          <w:b w:val="false"/>
          <w:bCs w:val="false"/>
          <w:sz w:val="20"/>
          <w:szCs w:val="20"/>
        </w:rPr>
        <w:t xml:space="preserve">[ ] Доставчикът има ли документирана политика за устойчивост? (Да, Не, Не е приложимо.</w:t>
      </w:r>
    </w:p>
    <w:p>
      <w:pPr>
        <w:spacing w:after="120"/>
      </w:pPr>
      <w:r>
        <w:rPr>
          <w:b w:val="false"/>
          <w:bCs w:val="false"/>
          <w:sz w:val="20"/>
          <w:szCs w:val="20"/>
        </w:rPr>
        <w:t xml:space="preserve">)</w:t>
      </w:r>
    </w:p>
    <w:p>
      <w:pPr>
        <w:spacing w:after="120"/>
      </w:pPr>
      <w:r>
        <w:rPr>
          <w:b w:val="false"/>
          <w:bCs w:val="false"/>
          <w:sz w:val="20"/>
          <w:szCs w:val="20"/>
        </w:rPr>
        <w:t xml:space="preserve">[ ] Опишете накратко системата за управление на околната среда на доставчика (напр. ISO 14001).</w:t>
      </w:r>
    </w:p>
    <w:p>
      <w:pPr>
        <w:spacing w:after="120"/>
      </w:pPr>
      <w:r>
        <w:rPr>
          <w:b w:val="false"/>
          <w:bCs w:val="false"/>
          <w:sz w:val="20"/>
          <w:szCs w:val="20"/>
        </w:rPr>
        <w:t xml:space="preserve">[ ] Процент на транспорта, използващ превозни средства с ниски емисии (напр. електрически, хибридни, биогорива).</w:t>
      </w:r>
    </w:p>
    <w:p>
      <w:pPr>
        <w:spacing w:after="120"/>
      </w:pPr>
      <w:r>
        <w:rPr>
          <w:b w:val="false"/>
          <w:bCs w:val="false"/>
          <w:sz w:val="20"/>
          <w:szCs w:val="20"/>
        </w:rPr>
        <w:t xml:space="preserve">[ ] Кои от следните етични стандарти за труд се спазват? (Членство в Асоциацията за справедлив труд (FLA)</w:t>
      </w:r>
    </w:p>
    <w:p>
      <w:pPr>
        <w:spacing w:after="120"/>
      </w:pPr>
      <w:r>
        <w:rPr>
          <w:b w:val="false"/>
          <w:bCs w:val="false"/>
          <w:sz w:val="20"/>
          <w:szCs w:val="20"/>
        </w:rPr>
        <w:t xml:space="preserve">, Сертификация SA8000, Членство в Sedex, Съответствие със Закона за съвременного робство, Кодекс на поведение за доставчици</w:t>
      </w:r>
    </w:p>
    <w:p>
      <w:pPr>
        <w:spacing w:after="120"/>
      </w:pPr>
      <w:r>
        <w:rPr>
          <w:b w:val="false"/>
          <w:bCs w:val="false"/>
          <w:sz w:val="20"/>
          <w:szCs w:val="20"/>
        </w:rPr>
        <w:t xml:space="preserve">, LONG_TEXT: The quick brown fox jumps over the lazy dog. This is a classic pangram, a sentence that contains all the letters of the alphabet. It’s often used to demonstrate fonts or test typewriters. The sentence is simple, yet effective in showcasing every letter. Its popularity stems from its brevity and memorability. While seemingly nonsensical, it serves a practical purpose. Do you find it charming?)</w:t>
      </w:r>
    </w:p>
    <w:p>
      <w:pPr>
        <w:spacing w:after="120"/>
      </w:pPr>
      <w:r>
        <w:rPr>
          <w:b w:val="false"/>
          <w:bCs w:val="false"/>
          <w:sz w:val="20"/>
          <w:szCs w:val="20"/>
        </w:rPr>
        <w:t xml:space="preserve">[ ] Ако е избран вариант Друго за етичните стандарти, моля, уточнете.</w:t>
      </w:r>
    </w:p>
    <w:p>
      <w:pPr>
        <w:spacing w:after="120"/>
      </w:pPr>
      <w:r>
        <w:rPr>
          <w:b w:val="false"/>
          <w:bCs w:val="false"/>
          <w:sz w:val="20"/>
          <w:szCs w:val="20"/>
        </w:rPr>
        <w:t xml:space="preserve">[ ] Моля, прикачете копие от кодекса на поведение на доставчика (ако има такъв).</w:t>
      </w:r>
    </w:p>
    <w:p>
      <w:pPr>
        <w:spacing w:after="120"/>
      </w:pPr>
      <w:r>
        <w:rPr>
          <w:b w:val="false"/>
          <w:bCs w:val="false"/>
          <w:sz w:val="20"/>
          <w:szCs w:val="20"/>
        </w:rPr>
        <w:t xml:space="preserve">[ ] Провеждат ли се редовни одити, за да се гарантира спазването на етични и устойчиви практики? (Да, Не., Няма приложимо.</w:t>
      </w:r>
    </w:p>
    <w:p>
      <w:pPr>
        <w:spacing w:after="120"/>
      </w:pPr>
      <w:r>
        <w:rPr>
          <w:b w:val="false"/>
          <w:bCs w:val="false"/>
          <w:sz w:val="20"/>
          <w:szCs w:val="20"/>
        </w:rPr>
        <w:t xml:space="preserve">)</w:t>
      </w:r>
    </w:p>
    <w:p>
      <w:pPr>
        <w:spacing w:after="120"/>
      </w:pPr>
      <w:r>
        <w:rPr>
          <w:b w:val="false"/>
          <w:bCs w:val="false"/>
          <w:sz w:val="20"/>
          <w:szCs w:val="20"/>
        </w:rPr>
        <w:t xml:space="preserve">[ ] Опишете предприетите коригиращи действия в отговор на идентифицирани проблеми, свързани с устойчивостта или етиката.</w:t>
      </w:r>
    </w:p>
    <w:p>
      <w:pPr>
        <w:spacing w:after="120"/>
      </w:pPr>
      <w:r>
        <w:rPr>
          <w:b w:val="false"/>
          <w:bCs w:val="false"/>
          <w:sz w:val="20"/>
          <w:szCs w:val="20"/>
        </w:rPr>
        <w:t xml:space="preserve"/>
      </w:r>
    </w:p>
    <w:p>
      <w:pPr>
        <w:spacing w:after="120"/>
      </w:pPr>
      <w:r>
        <w:rPr>
          <w:b/>
          <w:bCs/>
          <w:sz w:val="24"/>
          <w:szCs w:val="24"/>
        </w:rPr>
        <w:t xml:space="preserve">--- НЕПРЕКЪСНАТО ПОДОБРЕНИЕ И ИНОВАЦИИ ---</w:t>
      </w:r>
    </w:p>
    <w:p>
      <w:pPr>
        <w:spacing w:after="120"/>
      </w:pPr>
      <w:r>
        <w:rPr>
          <w:b w:val="false"/>
          <w:bCs w:val="false"/>
          <w:sz w:val="20"/>
          <w:szCs w:val="20"/>
        </w:rPr>
        <w:t xml:space="preserve">[ ] Опишете какви подобрения на процесите е внедрил доставчикът през последната година.</w:t>
      </w:r>
    </w:p>
    <w:p>
      <w:pPr>
        <w:spacing w:after="120"/>
      </w:pPr>
      <w:r>
        <w:rPr>
          <w:b w:val="false"/>
          <w:bCs w:val="false"/>
          <w:sz w:val="20"/>
          <w:szCs w:val="20"/>
        </w:rPr>
        <w:t xml:space="preserve">[ ] Какъв процент подобрение в ефективността е демонстрирал доставчикът в своите логистични операции?</w:t>
      </w:r>
    </w:p>
    <w:p>
      <w:pPr>
        <w:spacing w:after="120"/>
      </w:pPr>
      <w:r>
        <w:rPr>
          <w:b w:val="false"/>
          <w:bCs w:val="false"/>
          <w:sz w:val="20"/>
          <w:szCs w:val="20"/>
        </w:rPr>
        <w:t xml:space="preserve">[ ] Търси ли доставчикът активно обратна връзка за представянето си? (Да, Не., Не е приложимо.</w:t>
      </w:r>
    </w:p>
    <w:p>
      <w:pPr>
        <w:spacing w:after="120"/>
      </w:pPr>
      <w:r>
        <w:rPr>
          <w:b w:val="false"/>
          <w:bCs w:val="false"/>
          <w:sz w:val="20"/>
          <w:szCs w:val="20"/>
        </w:rPr>
        <w:t xml:space="preserve">)</w:t>
      </w:r>
    </w:p>
    <w:p>
      <w:pPr>
        <w:spacing w:after="120"/>
      </w:pPr>
      <w:r>
        <w:rPr>
          <w:b w:val="false"/>
          <w:bCs w:val="false"/>
          <w:sz w:val="20"/>
          <w:szCs w:val="20"/>
        </w:rPr>
        <w:t xml:space="preserve">[ ] Моля, прикачете всякакви документи, подкрепящи подобренията в процесите (напр. отчети, сертификати).</w:t>
      </w:r>
    </w:p>
    <w:p>
      <w:pPr>
        <w:spacing w:after="120"/>
      </w:pPr>
      <w:r>
        <w:rPr>
          <w:b w:val="false"/>
          <w:bCs w:val="false"/>
          <w:sz w:val="20"/>
          <w:szCs w:val="20"/>
        </w:rPr>
        <w:t xml:space="preserve">[ ] Опишете какви иновативни решения е предложил доставчикът, за да оптимизираме логистичните ни процеси.</w:t>
      </w:r>
    </w:p>
    <w:p>
      <w:pPr>
        <w:spacing w:after="120"/>
      </w:pPr>
      <w:r>
        <w:rPr>
          <w:b w:val="false"/>
          <w:bCs w:val="false"/>
          <w:sz w:val="20"/>
          <w:szCs w:val="20"/>
        </w:rPr>
        <w:t xml:space="preserve">[ ] Кои от следните области доставчикът активно проучва за иновации? (Оптимизация на маршрути, Автоматизация на складове, Проследяване в реално време, Инициативи за устойчивост, Нито едно.</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https://checklistguro.com/templates/logistics/supplier-performance-evaluation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2026-06-22T13:31:29.248Z</dcterms:created>
  <dcterms:modified xsi:type="dcterms:W3CDTF">2026-06-22T13:31:29.248Z</dcterms:modified>
</cp:coreProperties>
</file>

<file path=docProps/custom.xml><?xml version="1.0" encoding="utf-8"?>
<Properties xmlns="http://schemas.openxmlformats.org/officeDocument/2006/custom-properties" xmlns:vt="http://schemas.openxmlformats.org/officeDocument/2006/docPropsVTypes"/>
</file>