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DE LA NOTATION DES FOURNISSEURS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PERFORMANCE DE LA QUALITÉ ---</w:t>
      </w:r>
    </w:p>
    <w:p>
      <w:pPr>
        <w:spacing w:after="120"/>
      </w:pPr>
      <w:r>
        <w:rPr>
          <w:b w:val="false"/>
          <w:bCs w:val="false"/>
          <w:sz w:val="20"/>
          <w:szCs w:val="20"/>
        </w:rPr>
        <w:t xml:space="preserve">[ ] Taux de défauts (ppm)</w:t>
      </w:r>
    </w:p>
    <w:p>
      <w:pPr>
        <w:spacing w:after="120"/>
      </w:pPr>
      <w:r>
        <w:rPr>
          <w:b w:val="false"/>
          <w:bCs w:val="false"/>
          <w:sz w:val="20"/>
          <w:szCs w:val="20"/>
        </w:rPr>
        <w:t xml:space="preserve">[ ] Rendement au premier passage (%)</w:t>
      </w:r>
    </w:p>
    <w:p>
      <w:pPr>
        <w:spacing w:after="120"/>
      </w:pPr>
      <w:r>
        <w:rPr>
          <w:b w:val="false"/>
          <w:bCs w:val="false"/>
          <w:sz w:val="20"/>
          <w:szCs w:val="20"/>
        </w:rPr>
        <w:t xml:space="preserve">[ ] Résultats de l'audit (Dernier audit) (Aucun audit requis, Passer, Attention, Échouer)</w:t>
      </w:r>
    </w:p>
    <w:p>
      <w:pPr>
        <w:spacing w:after="120"/>
      </w:pPr>
      <w:r>
        <w:rPr>
          <w:b w:val="false"/>
          <w:bCs w:val="false"/>
          <w:sz w:val="20"/>
          <w:szCs w:val="20"/>
        </w:rPr>
        <w:t xml:space="preserve">[ ] Résumé des actions correctives prises (Dernier défaut)</w:t>
      </w:r>
    </w:p>
    <w:p>
      <w:pPr>
        <w:spacing w:after="120"/>
      </w:pPr>
      <w:r>
        <w:rPr>
          <w:b w:val="false"/>
          <w:bCs w:val="false"/>
          <w:sz w:val="20"/>
          <w:szCs w:val="20"/>
        </w:rPr>
        <w:t xml:space="preserve">[ ] Certifications de qualité détenues (Cocher toutes celles qui s'appliquent) (ISO 9001, IATF 16949, ISO 14001, Autre (Préciser dans le texte long))</w:t>
      </w:r>
    </w:p>
    <w:p>
      <w:pPr>
        <w:spacing w:after="120"/>
      </w:pPr>
      <w:r>
        <w:rPr>
          <w:b w:val="false"/>
          <w:bCs w:val="false"/>
          <w:sz w:val="20"/>
          <w:szCs w:val="20"/>
        </w:rPr>
        <w:t xml:space="preserve">[ ] Date du dernier audit qualité</w:t>
      </w:r>
    </w:p>
    <w:p>
      <w:pPr>
        <w:spacing w:after="120"/>
      </w:pPr>
      <w:r>
        <w:rPr>
          <w:b w:val="false"/>
          <w:bCs w:val="false"/>
          <w:sz w:val="20"/>
          <w:szCs w:val="20"/>
        </w:rPr>
        <w:t xml:space="preserve">[ ] Dernier rapport d'audit qualité</w:t>
      </w:r>
    </w:p>
    <w:p>
      <w:pPr>
        <w:spacing w:after="120"/>
      </w:pPr>
      <w:r>
        <w:rPr>
          <w:b w:val="false"/>
          <w:bCs w:val="false"/>
          <w:sz w:val="20"/>
          <w:szCs w:val="20"/>
        </w:rPr>
        <w:t xml:space="preserve"/>
      </w:r>
    </w:p>
    <w:p>
      <w:pPr>
        <w:spacing w:after="120"/>
      </w:pPr>
      <w:r>
        <w:rPr>
          <w:b/>
          <w:bCs/>
          <w:sz w:val="24"/>
          <w:szCs w:val="24"/>
        </w:rPr>
        <w:t xml:space="preserve">--- LIVRAISON ET RÉACTIVITÉ ---</w:t>
      </w:r>
    </w:p>
    <w:p>
      <w:pPr>
        <w:spacing w:after="120"/>
      </w:pPr>
      <w:r>
        <w:rPr>
          <w:b w:val="false"/>
          <w:bCs w:val="false"/>
          <w:sz w:val="20"/>
          <w:szCs w:val="20"/>
        </w:rPr>
        <w:t xml:space="preserve">[ ] Taux de livraison à temps (%)</w:t>
      </w:r>
    </w:p>
    <w:p>
      <w:pPr>
        <w:spacing w:after="120"/>
      </w:pPr>
      <w:r>
        <w:rPr>
          <w:b w:val="false"/>
          <w:bCs w:val="false"/>
          <w:sz w:val="20"/>
          <w:szCs w:val="20"/>
        </w:rPr>
        <w:t xml:space="preserve">[ ] Délai moyen (jours)</w:t>
      </w:r>
    </w:p>
    <w:p>
      <w:pPr>
        <w:spacing w:after="120"/>
      </w:pPr>
      <w:r>
        <w:rPr>
          <w:b w:val="false"/>
          <w:bCs w:val="false"/>
          <w:sz w:val="20"/>
          <w:szCs w:val="20"/>
        </w:rPr>
        <w:t xml:space="preserve">[ ] Nombre de livraisons tardives (sur les 12 derniers mois)</w:t>
      </w:r>
    </w:p>
    <w:p>
      <w:pPr>
        <w:spacing w:after="120"/>
      </w:pPr>
      <w:r>
        <w:rPr>
          <w:b w:val="false"/>
          <w:bCs w:val="false"/>
          <w:sz w:val="20"/>
          <w:szCs w:val="20"/>
        </w:rPr>
        <w:t xml:space="preserve">[ ] Réactivité aux demandes de prix (Temps de réponse - jours) (Moins de 2 jours, 2 à 5 jours, 6 à 10 jours, Plus de 10 jours)</w:t>
      </w:r>
    </w:p>
    <w:p>
      <w:pPr>
        <w:spacing w:after="120"/>
      </w:pPr>
      <w:r>
        <w:rPr>
          <w:b w:val="false"/>
          <w:bCs w:val="false"/>
          <w:sz w:val="20"/>
          <w:szCs w:val="20"/>
        </w:rPr>
        <w:t xml:space="preserve">[ ] Clarté et efficacité de la communication (Excellent, Bien, Juste, Mauvais)</w:t>
      </w:r>
    </w:p>
    <w:p>
      <w:pPr>
        <w:spacing w:after="120"/>
      </w:pPr>
      <w:r>
        <w:rPr>
          <w:b w:val="false"/>
          <w:bCs w:val="false"/>
          <w:sz w:val="20"/>
          <w:szCs w:val="20"/>
        </w:rPr>
        <w:t xml:space="preserve">[ ] Commentaires sur la performance de livraison</w:t>
      </w:r>
    </w:p>
    <w:p>
      <w:pPr>
        <w:spacing w:after="120"/>
      </w:pPr>
      <w:r>
        <w:rPr>
          <w:b w:val="false"/>
          <w:bCs w:val="false"/>
          <w:sz w:val="20"/>
          <w:szCs w:val="20"/>
        </w:rPr>
        <w:t xml:space="preserve"/>
      </w:r>
    </w:p>
    <w:p>
      <w:pPr>
        <w:spacing w:after="120"/>
      </w:pPr>
      <w:r>
        <w:rPr>
          <w:b/>
          <w:bCs/>
          <w:sz w:val="24"/>
          <w:szCs w:val="24"/>
        </w:rPr>
        <w:t xml:space="preserve">--- COÛT ET VALEUR ---</w:t>
      </w:r>
    </w:p>
    <w:p>
      <w:pPr>
        <w:spacing w:after="120"/>
      </w:pPr>
      <w:r>
        <w:rPr>
          <w:b w:val="false"/>
          <w:bCs w:val="false"/>
          <w:sz w:val="20"/>
          <w:szCs w:val="20"/>
        </w:rPr>
        <w:t xml:space="preserve">[ ] Coût unitaire (Actuel)</w:t>
      </w:r>
    </w:p>
    <w:p>
      <w:pPr>
        <w:spacing w:after="120"/>
      </w:pPr>
      <w:r>
        <w:rPr>
          <w:b w:val="false"/>
          <w:bCs w:val="false"/>
          <w:sz w:val="20"/>
          <w:szCs w:val="20"/>
        </w:rPr>
        <w:t xml:space="preserve">[ ] Coût unitaire (Année précédente)</w:t>
      </w:r>
    </w:p>
    <w:p>
      <w:pPr>
        <w:spacing w:after="120"/>
      </w:pPr>
      <w:r>
        <w:rPr>
          <w:b w:val="false"/>
          <w:bCs w:val="false"/>
          <w:sz w:val="20"/>
          <w:szCs w:val="20"/>
        </w:rPr>
        <w:t xml:space="preserve">[ ] Pourcentage de réduction des coûts (année après année)</w:t>
      </w:r>
    </w:p>
    <w:p>
      <w:pPr>
        <w:spacing w:after="120"/>
      </w:pPr>
      <w:r>
        <w:rPr>
          <w:b w:val="false"/>
          <w:bCs w:val="false"/>
          <w:sz w:val="20"/>
          <w:szCs w:val="20"/>
        </w:rPr>
        <w:t xml:space="preserve">[ ] Coût total de possession (TCO) - Projection sur 3 ans</w:t>
      </w:r>
    </w:p>
    <w:p>
      <w:pPr>
        <w:spacing w:after="120"/>
      </w:pPr>
      <w:r>
        <w:rPr>
          <w:b w:val="false"/>
          <w:bCs w:val="false"/>
          <w:sz w:val="20"/>
          <w:szCs w:val="20"/>
        </w:rPr>
        <w:t xml:space="preserve">[ ] Initiatives d'ingénierie de la valeur mises en œuvre ? (Oui, Non, N/A)</w:t>
      </w:r>
    </w:p>
    <w:p>
      <w:pPr>
        <w:spacing w:after="120"/>
      </w:pPr>
      <w:r>
        <w:rPr>
          <w:b w:val="false"/>
          <w:bCs w:val="false"/>
          <w:sz w:val="20"/>
          <w:szCs w:val="20"/>
        </w:rPr>
        <w:t xml:space="preserve">[ ] Détails des efforts et des résultats de l'ingénierie de la valeur (le cas échéant)</w:t>
      </w:r>
    </w:p>
    <w:p>
      <w:pPr>
        <w:spacing w:after="120"/>
      </w:pPr>
      <w:r>
        <w:rPr>
          <w:b w:val="false"/>
          <w:bCs w:val="false"/>
          <w:sz w:val="20"/>
          <w:szCs w:val="20"/>
        </w:rPr>
        <w:t xml:space="preserve">[ ] Modalités de paiement (Net 30, Net 60, Autres (Spécifier))</w:t>
      </w:r>
    </w:p>
    <w:p>
      <w:pPr>
        <w:spacing w:after="120"/>
      </w:pPr>
      <w:r>
        <w:rPr>
          <w:b w:val="false"/>
          <w:bCs w:val="false"/>
          <w:sz w:val="20"/>
          <w:szCs w:val="20"/>
        </w:rPr>
        <w:t xml:space="preserve">[ ] Justification des modalités de paiement</w:t>
      </w:r>
    </w:p>
    <w:p>
      <w:pPr>
        <w:spacing w:after="120"/>
      </w:pPr>
      <w:r>
        <w:rPr>
          <w:b w:val="false"/>
          <w:bCs w:val="false"/>
          <w:sz w:val="20"/>
          <w:szCs w:val="20"/>
        </w:rPr>
        <w:t xml:space="preserve"/>
      </w:r>
    </w:p>
    <w:p>
      <w:pPr>
        <w:spacing w:after="120"/>
      </w:pPr>
      <w:r>
        <w:rPr>
          <w:b/>
          <w:bCs/>
          <w:sz w:val="24"/>
          <w:szCs w:val="24"/>
        </w:rPr>
        <w:t xml:space="preserve">--- CAPACITÉ TECHNIQUE ET INNOVATION ---</w:t>
      </w:r>
    </w:p>
    <w:p>
      <w:pPr>
        <w:spacing w:after="120"/>
      </w:pPr>
      <w:r>
        <w:rPr>
          <w:b w:val="false"/>
          <w:bCs w:val="false"/>
          <w:sz w:val="20"/>
          <w:szCs w:val="20"/>
        </w:rPr>
        <w:t xml:space="preserve">[ ] Taux d'utilisation des capacités (%)</w:t>
      </w:r>
    </w:p>
    <w:p>
      <w:pPr>
        <w:spacing w:after="120"/>
      </w:pPr>
      <w:r>
        <w:rPr>
          <w:b w:val="false"/>
          <w:bCs w:val="false"/>
          <w:sz w:val="20"/>
          <w:szCs w:val="20"/>
        </w:rPr>
        <w:t xml:space="preserve">[ ] Nombre de personnel ingénieur</w:t>
      </w:r>
    </w:p>
    <w:p>
      <w:pPr>
        <w:spacing w:after="120"/>
      </w:pPr>
      <w:r>
        <w:rPr>
          <w:b w:val="false"/>
          <w:bCs w:val="false"/>
          <w:sz w:val="20"/>
          <w:szCs w:val="20"/>
        </w:rPr>
        <w:t xml:space="preserve">[ ] Niveau technologique du processus de fabrication (exemples : émergent, mature) (Émergent, Mûr(e), Avancé)</w:t>
      </w:r>
    </w:p>
    <w:p>
      <w:pPr>
        <w:spacing w:after="120"/>
      </w:pPr>
      <w:r>
        <w:rPr>
          <w:b w:val="false"/>
          <w:bCs w:val="false"/>
          <w:sz w:val="20"/>
          <w:szCs w:val="20"/>
        </w:rPr>
        <w:t xml:space="preserve">[ ] Technologies de fabrication utilisées (Cochez toutes les cases appropriées) (Usinage CNC, Moulage par injection, Impression 3D, Assemblage automatisé, Robotique)</w:t>
      </w:r>
    </w:p>
    <w:p>
      <w:pPr>
        <w:spacing w:after="120"/>
      </w:pPr>
      <w:r>
        <w:rPr>
          <w:b w:val="false"/>
          <w:bCs w:val="false"/>
          <w:sz w:val="20"/>
          <w:szCs w:val="20"/>
        </w:rPr>
        <w:t xml:space="preserve">[ ] Description des processus de fabrication clés</w:t>
      </w:r>
    </w:p>
    <w:p>
      <w:pPr>
        <w:spacing w:after="120"/>
      </w:pPr>
      <w:r>
        <w:rPr>
          <w:b w:val="false"/>
          <w:bCs w:val="false"/>
          <w:sz w:val="20"/>
          <w:szCs w:val="20"/>
        </w:rPr>
        <w:t xml:space="preserve">[ ] Diagramme de flux de processus (PDF)</w:t>
      </w:r>
    </w:p>
    <w:p>
      <w:pPr>
        <w:spacing w:after="120"/>
      </w:pPr>
      <w:r>
        <w:rPr>
          <w:b w:val="false"/>
          <w:bCs w:val="false"/>
          <w:sz w:val="20"/>
          <w:szCs w:val="20"/>
        </w:rPr>
        <w:t xml:space="preserve">[ ] Preuve d'investissement en R&amp;D (ex. % du chiffre d'affaires) (Faible, Média, Élevé, Non disponible)</w:t>
      </w:r>
    </w:p>
    <w:p>
      <w:pPr>
        <w:spacing w:after="120"/>
      </w:pPr>
      <w:r>
        <w:rPr>
          <w:b w:val="false"/>
          <w:bCs w:val="false"/>
          <w:sz w:val="20"/>
          <w:szCs w:val="20"/>
        </w:rPr>
        <w:t xml:space="preserve">[ ] Détails des récentes initiatives d'innovation/d'amélioration des processus</w:t>
      </w:r>
    </w:p>
    <w:p>
      <w:pPr>
        <w:spacing w:after="120"/>
      </w:pPr>
      <w:r>
        <w:rPr>
          <w:b w:val="false"/>
          <w:bCs w:val="false"/>
          <w:sz w:val="20"/>
          <w:szCs w:val="20"/>
        </w:rPr>
        <w:t xml:space="preserve"/>
      </w:r>
    </w:p>
    <w:p>
      <w:pPr>
        <w:spacing w:after="120"/>
      </w:pPr>
      <w:r>
        <w:rPr>
          <w:b/>
          <w:bCs/>
          <w:sz w:val="24"/>
          <w:szCs w:val="24"/>
        </w:rPr>
        <w:t xml:space="preserve">--- GESTION DES RISQUES ET CONFORMITÉ ---</w:t>
      </w:r>
    </w:p>
    <w:p>
      <w:pPr>
        <w:spacing w:after="120"/>
      </w:pPr>
      <w:r>
        <w:rPr>
          <w:b w:val="false"/>
          <w:bCs w:val="false"/>
          <w:sz w:val="20"/>
          <w:szCs w:val="20"/>
        </w:rPr>
        <w:t xml:space="preserve">[ ] Certifications (ISO 9001, ISO 14001, etc.) (ISO 9001, ISO 14001, IATF 16949, Autre - Préciser dans un long texte, Non applicable)</w:t>
      </w:r>
    </w:p>
    <w:p>
      <w:pPr>
        <w:spacing w:after="120"/>
      </w:pPr>
      <w:r>
        <w:rPr>
          <w:b w:val="false"/>
          <w:bCs w:val="false"/>
          <w:sz w:val="20"/>
          <w:szCs w:val="20"/>
        </w:rPr>
        <w:t xml:space="preserve">[ ] Pourcentage de la main-d'œuvre avec une certification en formation sécurité</w:t>
      </w:r>
    </w:p>
    <w:p>
      <w:pPr>
        <w:spacing w:after="120"/>
      </w:pPr>
      <w:r>
        <w:rPr>
          <w:b w:val="false"/>
          <w:bCs w:val="false"/>
          <w:sz w:val="20"/>
          <w:szCs w:val="20"/>
        </w:rPr>
        <w:t xml:space="preserve">[ ] Conformité au rapport sur les minéraux de conflit (Entièrement conforme, Partiellement conforme, Non conforme, Non applicable)</w:t>
      </w:r>
    </w:p>
    <w:p>
      <w:pPr>
        <w:spacing w:after="120"/>
      </w:pPr>
      <w:r>
        <w:rPr>
          <w:b w:val="false"/>
          <w:bCs w:val="false"/>
          <w:sz w:val="20"/>
          <w:szCs w:val="20"/>
        </w:rPr>
        <w:t xml:space="preserve">[ ] Résumé de l'évaluation des risques effectuée sur le fournisseur (y compris les risques géopolitiques, financiers ou opérationnels potentiels)</w:t>
      </w:r>
    </w:p>
    <w:p>
      <w:pPr>
        <w:spacing w:after="120"/>
      </w:pPr>
      <w:r>
        <w:rPr>
          <w:b w:val="false"/>
          <w:bCs w:val="false"/>
          <w:sz w:val="20"/>
          <w:szCs w:val="20"/>
        </w:rPr>
        <w:t xml:space="preserve">[ ] Téléchargez une copie du Code de conduite ou de la politique éthique du fournisseur</w:t>
      </w:r>
    </w:p>
    <w:p>
      <w:pPr>
        <w:spacing w:after="120"/>
      </w:pPr>
      <w:r>
        <w:rPr>
          <w:b w:val="false"/>
          <w:bCs w:val="false"/>
          <w:sz w:val="20"/>
          <w:szCs w:val="20"/>
        </w:rPr>
        <w:t xml:space="preserve">[ ] Respect des politiques anti-corruption et anti-pots-de-vin (Entièrement conforme, Partiellement conforme, Non conforme, Non applicable)</w:t>
      </w:r>
    </w:p>
    <w:p>
      <w:pPr>
        <w:spacing w:after="120"/>
      </w:pPr>
      <w:r>
        <w:rPr>
          <w:b w:val="false"/>
          <w:bCs w:val="false"/>
          <w:sz w:val="20"/>
          <w:szCs w:val="20"/>
        </w:rPr>
        <w:t xml:space="preserve">[ ] Date du dernier audit de conformité</w:t>
      </w:r>
    </w:p>
    <w:p>
      <w:pPr>
        <w:spacing w:after="120"/>
      </w:pPr>
      <w:r>
        <w:rPr>
          <w:b w:val="false"/>
          <w:bCs w:val="false"/>
          <w:sz w:val="20"/>
          <w:szCs w:val="20"/>
        </w:rPr>
        <w:t xml:space="preserve">[ ] Détails de tout manquement ou incident de conformité antérieur, et des mesures correctives prises.</w:t>
      </w:r>
    </w:p>
    <w:p>
      <w:pPr>
        <w:spacing w:after="120"/>
      </w:pPr>
      <w:r>
        <w:rPr>
          <w:b w:val="false"/>
          <w:bCs w:val="false"/>
          <w:sz w:val="20"/>
          <w:szCs w:val="20"/>
        </w:rPr>
        <w:t xml:space="preserve"/>
      </w:r>
    </w:p>
    <w:p>
      <w:pPr>
        <w:spacing w:after="120"/>
      </w:pPr>
      <w:r>
        <w:rPr>
          <w:b/>
          <w:bCs/>
          <w:sz w:val="24"/>
          <w:szCs w:val="24"/>
        </w:rPr>
        <w:t xml:space="preserve">--- RELATION ET COMMUNICATION ---</w:t>
      </w:r>
    </w:p>
    <w:p>
      <w:pPr>
        <w:spacing w:after="120"/>
      </w:pPr>
      <w:r>
        <w:rPr>
          <w:b w:val="false"/>
          <w:bCs w:val="false"/>
          <w:sz w:val="20"/>
          <w:szCs w:val="20"/>
        </w:rPr>
        <w:t xml:space="preserve">[ ] Fréquence des réunions de communication (Hebdomadaire, Bimensuel, Mensuel, Trimestriel, Ad hoc)</w:t>
      </w:r>
    </w:p>
    <w:p>
      <w:pPr>
        <w:spacing w:after="120"/>
      </w:pPr>
      <w:r>
        <w:rPr>
          <w:b w:val="false"/>
          <w:bCs w:val="false"/>
          <w:sz w:val="20"/>
          <w:szCs w:val="20"/>
        </w:rPr>
        <w:t xml:space="preserve">[ ] Délai de réponse moyen (heures)</w:t>
      </w:r>
    </w:p>
    <w:p>
      <w:pPr>
        <w:spacing w:after="120"/>
      </w:pPr>
      <w:r>
        <w:rPr>
          <w:b w:val="false"/>
          <w:bCs w:val="false"/>
          <w:sz w:val="20"/>
          <w:szCs w:val="20"/>
        </w:rPr>
        <w:t xml:space="preserve">[ ] Résumé des principaux défis de communication (le cas échéant)</w:t>
      </w:r>
    </w:p>
    <w:p>
      <w:pPr>
        <w:spacing w:after="120"/>
      </w:pPr>
      <w:r>
        <w:rPr>
          <w:b w:val="false"/>
          <w:bCs w:val="false"/>
          <w:sz w:val="20"/>
          <w:szCs w:val="20"/>
        </w:rPr>
        <w:t xml:space="preserve">[ ] Communication proactive (partage des mises à jour/problèmes potentiels) (Excellent, Bien, Juste, Mauvais)</w:t>
      </w:r>
    </w:p>
    <w:p>
      <w:pPr>
        <w:spacing w:after="120"/>
      </w:pPr>
      <w:r>
        <w:rPr>
          <w:b w:val="false"/>
          <w:bCs w:val="false"/>
          <w:sz w:val="20"/>
          <w:szCs w:val="20"/>
        </w:rPr>
        <w:t xml:space="preserve">[ ] Méthodes de communication préférées (Courriel, Téléphone, Visioconférence, Portail/Plateforme)</w:t>
      </w:r>
    </w:p>
    <w:p>
      <w:pPr>
        <w:spacing w:after="120"/>
      </w:pPr>
      <w:r>
        <w:rPr>
          <w:b w:val="false"/>
          <w:bCs w:val="false"/>
          <w:sz w:val="20"/>
          <w:szCs w:val="20"/>
        </w:rPr>
        <w:t xml:space="preserve">[ ] Efficacité du processus d'escalade des problèmes (Très efficace, Efficace, Neutre, Inefficace, Très inefficace)</w:t>
      </w:r>
    </w:p>
    <w:p>
      <w:pPr>
        <w:spacing w:after="120"/>
      </w:pPr>
      <w:r>
        <w:rPr>
          <w:b w:val="false"/>
          <w:bCs w:val="false"/>
          <w:sz w:val="20"/>
          <w:szCs w:val="20"/>
        </w:rPr>
        <w:t xml:space="preserve">[ ] Notes sur la dynamique relationnelle et la collaboration</w:t>
      </w:r>
    </w:p>
    <w:p>
      <w:pPr>
        <w:spacing w:after="120"/>
      </w:pPr>
      <w:r>
        <w:rPr>
          <w:b w:val="false"/>
          <w:bCs w:val="false"/>
          <w:sz w:val="20"/>
          <w:szCs w:val="20"/>
        </w:rPr>
        <w:t xml:space="preserve"/>
      </w:r>
    </w:p>
    <w:p>
      <w:pPr>
        <w:spacing w:after="120"/>
      </w:pPr>
      <w:r>
        <w:rPr>
          <w:b/>
          <w:bCs/>
          <w:sz w:val="24"/>
          <w:szCs w:val="24"/>
        </w:rPr>
        <w:t xml:space="preserve">--- AMÉLIORATION CONTINUE ET DURABILITÉ ---</w:t>
      </w:r>
    </w:p>
    <w:p>
      <w:pPr>
        <w:spacing w:after="120"/>
      </w:pPr>
      <w:r>
        <w:rPr>
          <w:b w:val="false"/>
          <w:bCs w:val="false"/>
          <w:sz w:val="20"/>
          <w:szCs w:val="20"/>
        </w:rPr>
        <w:t xml:space="preserve">[ ] Pourcentage de déchets réduit (par rapport au niveau initial)</w:t>
      </w:r>
    </w:p>
    <w:p>
      <w:pPr>
        <w:spacing w:after="120"/>
      </w:pPr>
      <w:r>
        <w:rPr>
          <w:b w:val="false"/>
          <w:bCs w:val="false"/>
          <w:sz w:val="20"/>
          <w:szCs w:val="20"/>
        </w:rPr>
        <w:t xml:space="preserve">[ ] Existence d'un programme formel d'amélioration continue (ex. : Kaizen, Lean) (Oui, Non, Partiel/Informel)</w:t>
      </w:r>
    </w:p>
    <w:p>
      <w:pPr>
        <w:spacing w:after="120"/>
      </w:pPr>
      <w:r>
        <w:rPr>
          <w:b w:val="false"/>
          <w:bCs w:val="false"/>
          <w:sz w:val="20"/>
          <w:szCs w:val="20"/>
        </w:rPr>
        <w:t xml:space="preserve">[ ] Résumé des récentes initiatives et résultats d'amélioration continue (derniers 6 à 12 mois)</w:t>
      </w:r>
    </w:p>
    <w:p>
      <w:pPr>
        <w:spacing w:after="120"/>
      </w:pPr>
      <w:r>
        <w:rPr>
          <w:b w:val="false"/>
          <w:bCs w:val="false"/>
          <w:sz w:val="20"/>
          <w:szCs w:val="20"/>
        </w:rPr>
        <w:t xml:space="preserve">[ ] Réduction de la consommation d'énergie (kWh ou équivalent) - Année précédente</w:t>
      </w:r>
    </w:p>
    <w:p>
      <w:pPr>
        <w:spacing w:after="120"/>
      </w:pPr>
      <w:r>
        <w:rPr>
          <w:b w:val="false"/>
          <w:bCs w:val="false"/>
          <w:sz w:val="20"/>
          <w:szCs w:val="20"/>
        </w:rPr>
        <w:t xml:space="preserve">[ ] Rapport de développement durable/Certifications (ex. : ISO 14001, EcoVadis)</w:t>
      </w:r>
    </w:p>
    <w:p>
      <w:pPr>
        <w:spacing w:after="120"/>
      </w:pPr>
      <w:r>
        <w:rPr>
          <w:b w:val="false"/>
          <w:bCs w:val="false"/>
          <w:sz w:val="20"/>
          <w:szCs w:val="20"/>
        </w:rPr>
        <w:t xml:space="preserve">[ ] Pratiques de durabilité mises en œuvre (Cochez toutes les cases applicables) (Empreinte carbone réduite, Conservation de l'eau, Approvisionnement éthique des matériaux, Gestion des déchets et recyclage, Programmes de santé et de sécurité au travail, Engagement communautaire)</w:t>
      </w:r>
    </w:p>
    <w:p>
      <w:pPr>
        <w:spacing w:after="120"/>
      </w:pPr>
      <w:r>
        <w:rPr>
          <w:b w:val="false"/>
          <w:bCs w:val="false"/>
          <w:sz w:val="20"/>
          <w:szCs w:val="20"/>
        </w:rPr>
        <w:t xml:space="preserve">[ ] Date du dernier audit de durabilité</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https://checklistguro.com/templates/manufacturing/supplier-scorecard-checklist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2026-06-22T12:42:25.290Z</dcterms:created>
  <dcterms:modified xsi:type="dcterms:W3CDTF">2026-06-22T12:42:25.290Z</dcterms:modified>
</cp:coreProperties>
</file>

<file path=docProps/custom.xml><?xml version="1.0" encoding="utf-8"?>
<Properties xmlns="http://schemas.openxmlformats.org/officeDocument/2006/custom-properties" xmlns:vt="http://schemas.openxmlformats.org/officeDocument/2006/docPropsVTypes"/>
</file>